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5F80" w14:textId="199622BB" w:rsidR="00D03C7A" w:rsidRPr="003A66B5" w:rsidRDefault="00B13B6E" w:rsidP="00177FC7">
      <w:pPr>
        <w:spacing w:before="120" w:after="120" w:line="360" w:lineRule="auto"/>
        <w:contextualSpacing/>
        <w:rPr>
          <w:rFonts w:cs="Arial"/>
          <w:szCs w:val="24"/>
        </w:rPr>
      </w:pPr>
      <w:r w:rsidRPr="00B13B6E">
        <w:rPr>
          <w:rFonts w:cs="Arial"/>
          <w:noProof/>
          <w:szCs w:val="24"/>
        </w:rPr>
        <w:drawing>
          <wp:inline distT="0" distB="0" distL="0" distR="0" wp14:anchorId="3803FD18" wp14:editId="4C6476CC">
            <wp:extent cx="5486400" cy="1616710"/>
            <wp:effectExtent l="0" t="0" r="0" b="2540"/>
            <wp:docPr id="805000718" name="Picture 1" descr="Banière pour le “Projet d’amélioration des mesures d’adaptation” avec des icônes représentant divers handicaps sur un fond rose-mauve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ière pour le “Projet d’amélioration des mesures d’adaptation” avec des icônes représentant divers handicaps sur un fond rose-mauve 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D1F28" w14:textId="6E92D773" w:rsidR="00E7788D" w:rsidRPr="00292EC1" w:rsidRDefault="08131D0D" w:rsidP="00177FC7">
      <w:pPr>
        <w:pStyle w:val="Heading1"/>
        <w:spacing w:before="120" w:after="120"/>
        <w:contextualSpacing/>
      </w:pPr>
      <w:r>
        <w:t xml:space="preserve">Quelle </w:t>
      </w:r>
      <w:r w:rsidR="007F5352">
        <w:t>sont les prochaines étapes</w:t>
      </w:r>
      <w:r>
        <w:t xml:space="preserve"> pour le Projet d’amélioration des mesures d’adaptation?</w:t>
      </w:r>
    </w:p>
    <w:p w14:paraId="52930582" w14:textId="77777777" w:rsidR="00E7788D" w:rsidRPr="00292EC1" w:rsidRDefault="00615231" w:rsidP="00177FC7">
      <w:pPr>
        <w:pStyle w:val="Heading2"/>
        <w:spacing w:before="120" w:after="120"/>
        <w:contextualSpacing/>
      </w:pPr>
      <w:r>
        <w:t>Aperçu</w:t>
      </w:r>
    </w:p>
    <w:p w14:paraId="0129257C" w14:textId="0F25EF49" w:rsidR="00D10970" w:rsidRPr="006C1455" w:rsidRDefault="00615231" w:rsidP="00177FC7">
      <w:pPr>
        <w:spacing w:before="120" w:after="120" w:line="360" w:lineRule="auto"/>
        <w:contextualSpacing/>
        <w:rPr>
          <w:rFonts w:cs="Arial"/>
        </w:rPr>
      </w:pPr>
      <w:r>
        <w:t xml:space="preserve">Le Projet d’amélioration des mesures d’adaptation (PAMA) </w:t>
      </w:r>
      <w:r w:rsidR="00102DB7">
        <w:t xml:space="preserve">a été lancé afin </w:t>
      </w:r>
      <w:r>
        <w:t xml:space="preserve">de </w:t>
      </w:r>
      <w:r w:rsidR="00B458A4">
        <w:t>stimuler</w:t>
      </w:r>
      <w:r>
        <w:t xml:space="preserve"> des </w:t>
      </w:r>
      <w:r w:rsidR="00B458A4">
        <w:t>changements</w:t>
      </w:r>
      <w:r>
        <w:t xml:space="preserve"> importants</w:t>
      </w:r>
      <w:r w:rsidR="007A6E27">
        <w:t xml:space="preserve"> et significatifs à la façon dont les ministères offrent </w:t>
      </w:r>
      <w:r>
        <w:t>des mesures d</w:t>
      </w:r>
      <w:r w:rsidR="00944DD8">
        <w:t>’</w:t>
      </w:r>
      <w:r>
        <w:t xml:space="preserve">adaptation </w:t>
      </w:r>
      <w:r w:rsidR="2537632A">
        <w:t>du lieu d</w:t>
      </w:r>
      <w:r w:rsidR="338FA1E5">
        <w:t>e</w:t>
      </w:r>
      <w:r w:rsidR="2537632A">
        <w:t xml:space="preserve"> travail </w:t>
      </w:r>
      <w:r>
        <w:t xml:space="preserve">pour les personnes en situation de handicap. </w:t>
      </w:r>
      <w:r w:rsidR="007A6E27">
        <w:t>Neuf ministères et l’Unité Impact et Innovation du Bureau du Conseil privé y ont participé et ont permis l’élaboration d</w:t>
      </w:r>
      <w:r w:rsidR="00557723">
        <w:t>e trousses d</w:t>
      </w:r>
      <w:r w:rsidR="007A6E27">
        <w:t>’outils et des ressources</w:t>
      </w:r>
      <w:r w:rsidR="2B1D9D99">
        <w:t xml:space="preserve"> pou</w:t>
      </w:r>
      <w:r w:rsidR="7ABC2BCA">
        <w:t>r</w:t>
      </w:r>
      <w:r w:rsidR="007A6E27">
        <w:t xml:space="preserve"> tous les ministères </w:t>
      </w:r>
      <w:r w:rsidR="00557723">
        <w:t xml:space="preserve">et organismes fédéraux. Une fois pleinement mis en œuvre, ces trousses d’outils </w:t>
      </w:r>
      <w:r w:rsidR="00A96C79">
        <w:t xml:space="preserve">aideront les organisations à créer des lieux de travail plus inclusifs en éliminant les obstacles auxquels font face les employés </w:t>
      </w:r>
      <w:r w:rsidR="009148CF">
        <w:t xml:space="preserve">de manière plus </w:t>
      </w:r>
      <w:r w:rsidR="00AC264F">
        <w:t xml:space="preserve">rapide, </w:t>
      </w:r>
      <w:r w:rsidR="009148CF">
        <w:t>efficace</w:t>
      </w:r>
      <w:r w:rsidR="00AC264F">
        <w:t>, et efficiente.</w:t>
      </w:r>
    </w:p>
    <w:p w14:paraId="5EC29DE1" w14:textId="2797FC84" w:rsidR="00E7788D" w:rsidRPr="003A66B5" w:rsidRDefault="00615231" w:rsidP="00177FC7">
      <w:pPr>
        <w:pStyle w:val="Heading2"/>
        <w:spacing w:before="120" w:after="120"/>
        <w:contextualSpacing/>
      </w:pPr>
      <w:r>
        <w:t>Prochaines étapes</w:t>
      </w:r>
      <w:r w:rsidR="00944DD8">
        <w:t xml:space="preserve"> </w:t>
      </w:r>
      <w:r>
        <w:t>(automne 2025</w:t>
      </w:r>
      <w:r w:rsidR="00BA08EC">
        <w:t xml:space="preserve"> – mars 2026</w:t>
      </w:r>
      <w:r>
        <w:t>)</w:t>
      </w:r>
    </w:p>
    <w:p w14:paraId="3767986A" w14:textId="48B3D179" w:rsidR="00BA08EC" w:rsidRDefault="00BA08EC" w:rsidP="00177FC7">
      <w:pPr>
        <w:spacing w:before="120" w:after="120" w:line="360" w:lineRule="auto"/>
        <w:contextualSpacing/>
        <w:rPr>
          <w:rFonts w:cs="Arial"/>
        </w:rPr>
      </w:pPr>
      <w:r w:rsidRPr="0D9ED654">
        <w:rPr>
          <w:rFonts w:cs="Arial"/>
        </w:rPr>
        <w:t xml:space="preserve">Dès octobre 2025, l’équipe du PAMA </w:t>
      </w:r>
      <w:r w:rsidR="0021533B" w:rsidRPr="0D9ED654">
        <w:rPr>
          <w:rFonts w:cs="Arial"/>
        </w:rPr>
        <w:t>commencera à se concentrer sur le</w:t>
      </w:r>
      <w:r w:rsidR="0030305D" w:rsidRPr="0D9ED654">
        <w:rPr>
          <w:rFonts w:cs="Arial"/>
        </w:rPr>
        <w:t xml:space="preserve"> </w:t>
      </w:r>
      <w:r w:rsidR="0021533B" w:rsidRPr="0D9ED654">
        <w:rPr>
          <w:rFonts w:cs="Arial"/>
        </w:rPr>
        <w:t>soutien aux ministères et agences pour intégrer et utiliser les outils et les ressources du PAMA.</w:t>
      </w:r>
    </w:p>
    <w:p w14:paraId="2C29C7D9" w14:textId="00FFB89A" w:rsidR="0030305D" w:rsidRPr="0030305D" w:rsidRDefault="0030305D" w:rsidP="00177FC7">
      <w:pPr>
        <w:spacing w:before="120" w:after="120" w:line="36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>Plus p</w:t>
      </w:r>
      <w:r w:rsidR="001661FF">
        <w:rPr>
          <w:rFonts w:cs="Arial"/>
          <w:szCs w:val="24"/>
        </w:rPr>
        <w:t>récisé</w:t>
      </w:r>
      <w:r>
        <w:rPr>
          <w:rFonts w:cs="Arial"/>
          <w:szCs w:val="24"/>
        </w:rPr>
        <w:t xml:space="preserve">ment, </w:t>
      </w:r>
      <w:r w:rsidR="00AA3514">
        <w:rPr>
          <w:rFonts w:cs="Arial"/>
          <w:szCs w:val="24"/>
        </w:rPr>
        <w:t>l’équipe</w:t>
      </w:r>
      <w:r w:rsidR="001661FF">
        <w:rPr>
          <w:rFonts w:cs="Arial"/>
          <w:szCs w:val="24"/>
        </w:rPr>
        <w:t> :</w:t>
      </w:r>
      <w:r w:rsidR="00AA3514">
        <w:rPr>
          <w:rFonts w:cs="Arial"/>
          <w:szCs w:val="24"/>
        </w:rPr>
        <w:t xml:space="preserve"> </w:t>
      </w:r>
    </w:p>
    <w:p w14:paraId="2D45E053" w14:textId="3BE84E36" w:rsidR="00575694" w:rsidRPr="003A66B5" w:rsidRDefault="001661FF" w:rsidP="00177FC7">
      <w:pPr>
        <w:pStyle w:val="ListBullet"/>
        <w:numPr>
          <w:ilvl w:val="0"/>
          <w:numId w:val="36"/>
        </w:numPr>
        <w:spacing w:before="120" w:after="120" w:line="360" w:lineRule="auto"/>
        <w:rPr>
          <w:rFonts w:cs="Arial"/>
          <w:szCs w:val="24"/>
        </w:rPr>
      </w:pPr>
      <w:r>
        <w:t>p</w:t>
      </w:r>
      <w:r w:rsidR="00615231">
        <w:t>artager</w:t>
      </w:r>
      <w:r>
        <w:t>a</w:t>
      </w:r>
      <w:r w:rsidR="00615231">
        <w:t xml:space="preserve"> les outils achevés avec les collectivités fonctionnelles de l</w:t>
      </w:r>
      <w:r w:rsidR="00944DD8">
        <w:t>’</w:t>
      </w:r>
      <w:r w:rsidR="00615231">
        <w:t xml:space="preserve">ensemble du gouvernement fédéral, notamment : </w:t>
      </w:r>
    </w:p>
    <w:p w14:paraId="3461B865" w14:textId="3899B6AF" w:rsidR="00575694" w:rsidRPr="003A66B5" w:rsidRDefault="00615231" w:rsidP="00177FC7">
      <w:pPr>
        <w:pStyle w:val="ListBullet"/>
        <w:numPr>
          <w:ilvl w:val="1"/>
          <w:numId w:val="9"/>
        </w:numPr>
        <w:spacing w:before="120" w:after="120" w:line="360" w:lineRule="auto"/>
        <w:rPr>
          <w:rFonts w:cs="Arial"/>
          <w:szCs w:val="24"/>
        </w:rPr>
      </w:pPr>
      <w:r>
        <w:t xml:space="preserve">Ressources humaines; </w:t>
      </w:r>
    </w:p>
    <w:p w14:paraId="5F641FA7" w14:textId="1FF53F59" w:rsidR="00575694" w:rsidRPr="00037BA9" w:rsidRDefault="00037BA9" w:rsidP="00177FC7">
      <w:pPr>
        <w:pStyle w:val="ListBullet"/>
        <w:numPr>
          <w:ilvl w:val="1"/>
          <w:numId w:val="9"/>
        </w:numPr>
        <w:spacing w:before="120" w:after="120" w:line="360" w:lineRule="auto"/>
        <w:rPr>
          <w:rFonts w:cs="Arial"/>
          <w:szCs w:val="24"/>
        </w:rPr>
      </w:pPr>
      <w:r>
        <w:t>Technologie informatique;</w:t>
      </w:r>
    </w:p>
    <w:p w14:paraId="7CBD2831" w14:textId="652855C3" w:rsidR="00037BA9" w:rsidRPr="00037BA9" w:rsidRDefault="00037BA9" w:rsidP="00177FC7">
      <w:pPr>
        <w:pStyle w:val="ListBullet"/>
        <w:numPr>
          <w:ilvl w:val="1"/>
          <w:numId w:val="9"/>
        </w:numPr>
        <w:spacing w:before="120" w:after="120" w:line="360" w:lineRule="auto"/>
        <w:rPr>
          <w:rFonts w:cs="Arial"/>
          <w:szCs w:val="24"/>
        </w:rPr>
      </w:pPr>
      <w:r>
        <w:lastRenderedPageBreak/>
        <w:t>Approvisionnement;</w:t>
      </w:r>
    </w:p>
    <w:p w14:paraId="59334D1A" w14:textId="401DA585" w:rsidR="00037BA9" w:rsidRPr="00C739E2" w:rsidRDefault="00C739E2" w:rsidP="00177FC7">
      <w:pPr>
        <w:pStyle w:val="ListBullet"/>
        <w:spacing w:before="120" w:after="120" w:line="360" w:lineRule="auto"/>
        <w:rPr>
          <w:rFonts w:cs="Arial"/>
        </w:rPr>
      </w:pPr>
      <w:r>
        <w:t xml:space="preserve">Gestion des </w:t>
      </w:r>
      <w:r w:rsidR="7CFAB43B">
        <w:t>b</w:t>
      </w:r>
      <w:r w:rsidR="00037BA9">
        <w:t>iens immobiliers</w:t>
      </w:r>
    </w:p>
    <w:p w14:paraId="7C8EB675" w14:textId="5446D80E" w:rsidR="00C739E2" w:rsidRPr="003A66B5" w:rsidRDefault="001B59F4" w:rsidP="00177FC7">
      <w:pPr>
        <w:pStyle w:val="ListBullet"/>
        <w:numPr>
          <w:ilvl w:val="1"/>
          <w:numId w:val="9"/>
        </w:numPr>
        <w:spacing w:before="120" w:after="120" w:line="360" w:lineRule="auto"/>
        <w:rPr>
          <w:rFonts w:cs="Arial"/>
          <w:szCs w:val="24"/>
        </w:rPr>
      </w:pPr>
      <w:r>
        <w:t>Audit et évaluation; et</w:t>
      </w:r>
    </w:p>
    <w:p w14:paraId="19C64D16" w14:textId="678811B7" w:rsidR="007033AF" w:rsidRPr="007033AF" w:rsidRDefault="001B59F4" w:rsidP="00177FC7">
      <w:pPr>
        <w:pStyle w:val="ListBullet"/>
        <w:numPr>
          <w:ilvl w:val="1"/>
          <w:numId w:val="9"/>
        </w:numPr>
        <w:spacing w:before="120" w:after="120" w:line="360" w:lineRule="auto"/>
        <w:rPr>
          <w:rFonts w:cs="Arial"/>
          <w:szCs w:val="24"/>
        </w:rPr>
      </w:pPr>
      <w:r>
        <w:t xml:space="preserve">Les experts menant le développement et la mise en œuvre des plans d’accessibilité, </w:t>
      </w:r>
      <w:r w:rsidR="007033AF">
        <w:t>de diversité et d’inclusion;</w:t>
      </w:r>
    </w:p>
    <w:p w14:paraId="047C97FA" w14:textId="70F932B6" w:rsidR="006E70B0" w:rsidRPr="003A66B5" w:rsidRDefault="001661FF" w:rsidP="00177FC7">
      <w:pPr>
        <w:pStyle w:val="ListBullet"/>
        <w:numPr>
          <w:ilvl w:val="0"/>
          <w:numId w:val="9"/>
        </w:numPr>
        <w:spacing w:before="120" w:after="120" w:line="360" w:lineRule="auto"/>
        <w:rPr>
          <w:rFonts w:cs="Arial"/>
          <w:szCs w:val="24"/>
        </w:rPr>
      </w:pPr>
      <w:r>
        <w:t>f</w:t>
      </w:r>
      <w:r w:rsidR="00615231">
        <w:t>ournir</w:t>
      </w:r>
      <w:r>
        <w:t>a</w:t>
      </w:r>
      <w:r w:rsidR="00615231">
        <w:t xml:space="preserve"> un soutien ciblé aux ministères et aux organismes pour qu’ils intègrent les pratiques exemplaires </w:t>
      </w:r>
      <w:r w:rsidR="00030F91">
        <w:t xml:space="preserve">du PAMA </w:t>
      </w:r>
      <w:r w:rsidR="00615231">
        <w:t xml:space="preserve">dans leurs stratégies d’accessibilité et leurs processus </w:t>
      </w:r>
      <w:r w:rsidR="000E6664">
        <w:t>lié aux</w:t>
      </w:r>
      <w:r w:rsidR="00615231">
        <w:t xml:space="preserve"> mesures d’adaptation</w:t>
      </w:r>
      <w:r w:rsidR="00230590">
        <w:t xml:space="preserve"> du lieu de travail</w:t>
      </w:r>
      <w:r w:rsidR="00615231">
        <w:t>.</w:t>
      </w:r>
    </w:p>
    <w:p w14:paraId="0A7F48CA" w14:textId="6A01E6FD" w:rsidR="00E7788D" w:rsidRPr="003A66B5" w:rsidRDefault="001661FF" w:rsidP="00177FC7">
      <w:pPr>
        <w:pStyle w:val="ListBullet"/>
        <w:tabs>
          <w:tab w:val="clear" w:pos="360"/>
          <w:tab w:val="num" w:pos="720"/>
        </w:tabs>
        <w:spacing w:before="120" w:after="120" w:line="360" w:lineRule="auto"/>
        <w:ind w:left="720"/>
        <w:rPr>
          <w:rFonts w:cs="Arial"/>
          <w:szCs w:val="24"/>
        </w:rPr>
      </w:pPr>
      <w:r>
        <w:t>s</w:t>
      </w:r>
      <w:r w:rsidR="002E5996">
        <w:t>out</w:t>
      </w:r>
      <w:r>
        <w:t>iendra</w:t>
      </w:r>
      <w:r w:rsidR="002E5996">
        <w:t xml:space="preserve"> les ministères et partenaires de mise en œuvre</w:t>
      </w:r>
      <w:r w:rsidR="008B74DD">
        <w:t xml:space="preserve"> </w:t>
      </w:r>
      <w:r w:rsidR="008A67B2">
        <w:t>à continuer de prototyper des améliorations et des solutions de processus (p</w:t>
      </w:r>
      <w:r w:rsidR="002010F5">
        <w:t>ar</w:t>
      </w:r>
      <w:r w:rsidR="008A67B2">
        <w:t xml:space="preserve"> ex</w:t>
      </w:r>
      <w:r w:rsidR="002010F5">
        <w:t>emple,</w:t>
      </w:r>
      <w:r w:rsidR="008A67B2">
        <w:t xml:space="preserve"> Transport Canada </w:t>
      </w:r>
      <w:r w:rsidR="00B45637">
        <w:t xml:space="preserve">teste un </w:t>
      </w:r>
      <w:proofErr w:type="spellStart"/>
      <w:r w:rsidR="00E9611D">
        <w:t>chatbot</w:t>
      </w:r>
      <w:proofErr w:type="spellEnd"/>
      <w:r w:rsidR="00E9611D">
        <w:t xml:space="preserve"> et </w:t>
      </w:r>
      <w:r w:rsidR="009C04B7">
        <w:t xml:space="preserve">développe un système intégré de gestion de cas) qui pourraient être </w:t>
      </w:r>
      <w:r w:rsidR="002240F5">
        <w:t>utilisés par toutes les organisations</w:t>
      </w:r>
      <w:r w:rsidR="00615231">
        <w:t>.</w:t>
      </w:r>
    </w:p>
    <w:p w14:paraId="48DF4A9D" w14:textId="572414AD" w:rsidR="00E7788D" w:rsidRPr="003A66B5" w:rsidRDefault="00BA08EC" w:rsidP="00177FC7">
      <w:pPr>
        <w:pStyle w:val="Heading2"/>
        <w:spacing w:before="120" w:after="120"/>
        <w:contextualSpacing/>
      </w:pPr>
      <w:r>
        <w:t>Au-delà du PAMA : p</w:t>
      </w:r>
      <w:r w:rsidR="00615231">
        <w:t>ossibilités de progrès futurs</w:t>
      </w:r>
    </w:p>
    <w:p w14:paraId="45CB1B01" w14:textId="2D7CF17B" w:rsidR="00EC647D" w:rsidRPr="003A66B5" w:rsidRDefault="00B509F6" w:rsidP="00177FC7">
      <w:pPr>
        <w:spacing w:before="120" w:after="120" w:line="360" w:lineRule="auto"/>
        <w:contextualSpacing/>
        <w:rPr>
          <w:rFonts w:cs="Arial"/>
          <w:szCs w:val="24"/>
        </w:rPr>
      </w:pPr>
      <w:r>
        <w:t>Les travaux du Projet d’amélioration des mesures d’adaptation ont mis en évidence des domaines</w:t>
      </w:r>
      <w:r w:rsidR="0054519A">
        <w:t xml:space="preserve"> à explorer, soit collectivement ou </w:t>
      </w:r>
      <w:r w:rsidR="001C6D4C">
        <w:t>par</w:t>
      </w:r>
      <w:r w:rsidR="0054519A">
        <w:t xml:space="preserve"> </w:t>
      </w:r>
      <w:r w:rsidR="00A34590">
        <w:t xml:space="preserve">des ministères </w:t>
      </w:r>
      <w:r w:rsidR="0054519A">
        <w:t>individuel</w:t>
      </w:r>
      <w:r w:rsidR="00A34590">
        <w:t>s</w:t>
      </w:r>
      <w:r w:rsidR="0054519A">
        <w:t xml:space="preserve"> pour soutenir les améliorations continues </w:t>
      </w:r>
      <w:r w:rsidR="001D7D84">
        <w:t>d</w:t>
      </w:r>
      <w:r>
        <w:t>es mesures d</w:t>
      </w:r>
      <w:r w:rsidR="00944DD8">
        <w:t>’</w:t>
      </w:r>
      <w:r>
        <w:t xml:space="preserve">adaptation </w:t>
      </w:r>
      <w:r w:rsidR="00030F91">
        <w:t>du lieu</w:t>
      </w:r>
      <w:r>
        <w:t xml:space="preserve"> de travail pour les employés en situation de handicap dans la fonction publique</w:t>
      </w:r>
      <w:r w:rsidR="00C3250D">
        <w:t>, tels que</w:t>
      </w:r>
      <w:r>
        <w:t> :</w:t>
      </w:r>
    </w:p>
    <w:p w14:paraId="393E413A" w14:textId="312671D5" w:rsidR="00E7788D" w:rsidRPr="003A66B5" w:rsidRDefault="007B6678" w:rsidP="00177FC7">
      <w:pPr>
        <w:pStyle w:val="Heading3"/>
        <w:numPr>
          <w:ilvl w:val="0"/>
          <w:numId w:val="17"/>
        </w:numPr>
        <w:spacing w:before="120" w:after="120"/>
        <w:contextualSpacing/>
      </w:pPr>
      <w:r>
        <w:t xml:space="preserve">Prototypage continu et </w:t>
      </w:r>
      <w:r w:rsidR="00211CDC">
        <w:t xml:space="preserve">expansion des </w:t>
      </w:r>
      <w:r w:rsidR="00615231">
        <w:t>prototypes prometteurs</w:t>
      </w:r>
    </w:p>
    <w:p w14:paraId="6F805ABC" w14:textId="5CC1F45E" w:rsidR="006E70B0" w:rsidRPr="003A66B5" w:rsidRDefault="006D4413" w:rsidP="00177FC7">
      <w:pPr>
        <w:pStyle w:val="ListBullet"/>
        <w:spacing w:before="120" w:after="120" w:line="360" w:lineRule="auto"/>
        <w:rPr>
          <w:rFonts w:cs="Arial"/>
        </w:rPr>
      </w:pPr>
      <w:r>
        <w:t>Intensifier</w:t>
      </w:r>
      <w:r w:rsidR="00F57D8C">
        <w:t xml:space="preserve"> les</w:t>
      </w:r>
      <w:r w:rsidR="00615231">
        <w:t xml:space="preserve"> prototypes développés par les ministères partenaires de la mise en œuvre</w:t>
      </w:r>
      <w:r w:rsidR="00B375F9">
        <w:t>.</w:t>
      </w:r>
    </w:p>
    <w:p w14:paraId="45634B1A" w14:textId="627124B0" w:rsidR="00962E01" w:rsidRPr="003A66B5" w:rsidRDefault="00615231" w:rsidP="00177FC7">
      <w:pPr>
        <w:pStyle w:val="ListBullet"/>
        <w:numPr>
          <w:ilvl w:val="0"/>
          <w:numId w:val="7"/>
        </w:numPr>
        <w:spacing w:before="120" w:after="120" w:line="360" w:lineRule="auto"/>
        <w:rPr>
          <w:rFonts w:cs="Arial"/>
          <w:szCs w:val="24"/>
        </w:rPr>
      </w:pPr>
      <w:r>
        <w:t>Évaluer l’efficacité et l’adaptabilité des prototypes dans différentes organisations.</w:t>
      </w:r>
    </w:p>
    <w:p w14:paraId="0A295528" w14:textId="2AAE5066" w:rsidR="00E7788D" w:rsidRPr="003A66B5" w:rsidRDefault="00615231" w:rsidP="00177FC7">
      <w:pPr>
        <w:pStyle w:val="Heading3"/>
        <w:numPr>
          <w:ilvl w:val="0"/>
          <w:numId w:val="17"/>
        </w:numPr>
        <w:spacing w:before="120" w:after="120"/>
        <w:contextualSpacing/>
      </w:pPr>
      <w:r>
        <w:t>Analyse des répercussions économiques</w:t>
      </w:r>
    </w:p>
    <w:p w14:paraId="51CC0A98" w14:textId="319F9381" w:rsidR="006E70B0" w:rsidRPr="003A66B5" w:rsidRDefault="00615231" w:rsidP="55DC891E">
      <w:pPr>
        <w:pStyle w:val="ListBullet"/>
        <w:spacing w:before="120" w:after="120" w:line="360" w:lineRule="auto"/>
        <w:rPr>
          <w:rFonts w:cs="Arial"/>
        </w:rPr>
      </w:pPr>
      <w:r>
        <w:t xml:space="preserve">Mener d’autres recherches sur les coûts et les avantages </w:t>
      </w:r>
      <w:r w:rsidR="00DC584E">
        <w:t>d</w:t>
      </w:r>
      <w:r w:rsidR="00C72987">
        <w:t xml:space="preserve">e la prestation </w:t>
      </w:r>
      <w:r w:rsidR="00AE3C5E">
        <w:t>des services de</w:t>
      </w:r>
      <w:r>
        <w:t xml:space="preserve"> </w:t>
      </w:r>
      <w:r w:rsidR="00DC584E">
        <w:t>mesures</w:t>
      </w:r>
      <w:r>
        <w:t xml:space="preserve"> d’adaptation </w:t>
      </w:r>
      <w:r w:rsidR="00B375F9">
        <w:t>du</w:t>
      </w:r>
      <w:r w:rsidR="000491C1">
        <w:t xml:space="preserve"> lieu</w:t>
      </w:r>
      <w:r>
        <w:t xml:space="preserve"> de travail </w:t>
      </w:r>
      <w:r w:rsidR="00B375F9">
        <w:t>au sein de la fonction publique</w:t>
      </w:r>
      <w:r>
        <w:t>.</w:t>
      </w:r>
    </w:p>
    <w:p w14:paraId="6EB4A583" w14:textId="47164CA8" w:rsidR="00E7788D" w:rsidRPr="003A66B5" w:rsidRDefault="002010F5" w:rsidP="00177FC7">
      <w:pPr>
        <w:pStyle w:val="ListBullet"/>
        <w:numPr>
          <w:ilvl w:val="0"/>
          <w:numId w:val="28"/>
        </w:numPr>
        <w:spacing w:before="120" w:after="120" w:line="360" w:lineRule="auto"/>
        <w:rPr>
          <w:rFonts w:cs="Arial"/>
          <w:szCs w:val="24"/>
        </w:rPr>
      </w:pPr>
      <w:r>
        <w:lastRenderedPageBreak/>
        <w:t>Élaborer</w:t>
      </w:r>
      <w:r w:rsidR="00615231">
        <w:t xml:space="preserve"> une analyse de rentabilisation pour favoriser un investissement durable dans les mesures d’adaptation inclusives </w:t>
      </w:r>
      <w:r>
        <w:t>du lieu</w:t>
      </w:r>
      <w:r w:rsidR="00615231">
        <w:t xml:space="preserve"> de travail.</w:t>
      </w:r>
    </w:p>
    <w:p w14:paraId="233E8575" w14:textId="4DDC7A97" w:rsidR="00E7788D" w:rsidRPr="003A66B5" w:rsidRDefault="00615231" w:rsidP="00177FC7">
      <w:pPr>
        <w:pStyle w:val="Heading3"/>
        <w:numPr>
          <w:ilvl w:val="0"/>
          <w:numId w:val="17"/>
        </w:numPr>
        <w:spacing w:before="120" w:after="120"/>
        <w:contextualSpacing/>
      </w:pPr>
      <w:r>
        <w:t>Perspectives intersectionnelles</w:t>
      </w:r>
    </w:p>
    <w:p w14:paraId="5A022CF5" w14:textId="64C9B4DF" w:rsidR="006E70B0" w:rsidRPr="003A66B5" w:rsidRDefault="00944DD8" w:rsidP="00177FC7">
      <w:pPr>
        <w:pStyle w:val="ListBullet"/>
        <w:tabs>
          <w:tab w:val="clear" w:pos="360"/>
          <w:tab w:val="num" w:pos="720"/>
        </w:tabs>
        <w:spacing w:before="120" w:after="120" w:line="360" w:lineRule="auto"/>
        <w:ind w:left="720"/>
        <w:rPr>
          <w:rFonts w:cs="Arial"/>
        </w:rPr>
      </w:pPr>
      <w:r>
        <w:t>Approfondir notre compréhension de la façon dont</w:t>
      </w:r>
      <w:r w:rsidR="00615231">
        <w:t xml:space="preserve"> les </w:t>
      </w:r>
      <w:r w:rsidR="00F64ECC">
        <w:t>employés</w:t>
      </w:r>
      <w:r w:rsidR="00615231">
        <w:t xml:space="preserve"> </w:t>
      </w:r>
      <w:r>
        <w:t>ayant des identités intersectionnelles</w:t>
      </w:r>
      <w:r w:rsidR="00615231">
        <w:t xml:space="preserve"> (par exemple, la race, le sexe, le handicap, l</w:t>
      </w:r>
      <w:r>
        <w:t>’</w:t>
      </w:r>
      <w:r w:rsidR="00615231">
        <w:t xml:space="preserve">appartenance autochtone, le statut 2ELGBTQI+) </w:t>
      </w:r>
      <w:r w:rsidR="001D27DE">
        <w:t xml:space="preserve">vivent </w:t>
      </w:r>
      <w:r w:rsidR="008859AB">
        <w:t xml:space="preserve">les </w:t>
      </w:r>
      <w:r w:rsidR="00615231">
        <w:t>mesures d</w:t>
      </w:r>
      <w:r>
        <w:t>’</w:t>
      </w:r>
      <w:r w:rsidR="00615231">
        <w:t>adaptation</w:t>
      </w:r>
      <w:r w:rsidR="00230590">
        <w:t xml:space="preserve"> du lieu de travail</w:t>
      </w:r>
      <w:r w:rsidR="00615231">
        <w:t xml:space="preserve">. </w:t>
      </w:r>
    </w:p>
    <w:p w14:paraId="30929E84" w14:textId="4F0433A2" w:rsidR="00E7788D" w:rsidRPr="003A66B5" w:rsidRDefault="00615231" w:rsidP="00177FC7">
      <w:pPr>
        <w:pStyle w:val="ListBullet"/>
        <w:numPr>
          <w:ilvl w:val="0"/>
          <w:numId w:val="10"/>
        </w:numPr>
        <w:spacing w:before="120" w:after="120" w:line="360" w:lineRule="auto"/>
        <w:rPr>
          <w:rFonts w:cs="Arial"/>
          <w:szCs w:val="24"/>
        </w:rPr>
      </w:pPr>
      <w:r>
        <w:t>Utiliser les résultats pour élaborer des politiques plus inclusives en matière de mesures d’adaptation</w:t>
      </w:r>
      <w:r w:rsidR="00F7146D">
        <w:t xml:space="preserve"> du lieu de travail</w:t>
      </w:r>
      <w:r>
        <w:t>.</w:t>
      </w:r>
    </w:p>
    <w:p w14:paraId="03D7EC99" w14:textId="5D5EDA6B" w:rsidR="00E7788D" w:rsidRDefault="00615231" w:rsidP="00177FC7">
      <w:pPr>
        <w:pStyle w:val="Heading3"/>
        <w:numPr>
          <w:ilvl w:val="0"/>
          <w:numId w:val="17"/>
        </w:numPr>
        <w:spacing w:before="120" w:after="120"/>
        <w:contextualSpacing/>
      </w:pPr>
      <w:r>
        <w:t>Modernisation des politiques et des processus</w:t>
      </w:r>
    </w:p>
    <w:p w14:paraId="0D9C575E" w14:textId="3A5077FB" w:rsidR="00E7788D" w:rsidRPr="00D010A3" w:rsidRDefault="00417C2F" w:rsidP="00177FC7">
      <w:pPr>
        <w:spacing w:before="120" w:after="120" w:line="360" w:lineRule="auto"/>
        <w:ind w:left="360"/>
        <w:contextualSpacing/>
        <w:rPr>
          <w:rFonts w:cs="Arial"/>
          <w:szCs w:val="24"/>
        </w:rPr>
      </w:pPr>
      <w:r>
        <w:t xml:space="preserve">Les résultats de l’initiative PAMA </w:t>
      </w:r>
      <w:r w:rsidR="00D976ED">
        <w:t>peuvent également éclairer les travaux menés au niveau des ministères ou des organis</w:t>
      </w:r>
      <w:r w:rsidR="0099078D">
        <w:t xml:space="preserve">mes fédéraux </w:t>
      </w:r>
      <w:r w:rsidR="003675FF">
        <w:t>exerçant</w:t>
      </w:r>
      <w:r w:rsidR="0099078D">
        <w:t xml:space="preserve"> des responsabilités à l’échelle de l’organisation. Plus précisément, si nous devons éliminer les obstacles existants, nous voulons également éviter d’en cré</w:t>
      </w:r>
      <w:r w:rsidR="006117F3">
        <w:t>er des nouveaux pour les employés en situation de handicap. Cela implique d’adopter une perspective d’inclusion du handicap en permanence, y compris lors de l’élaboration de nouvelles politiques ou de la mise à jour de celles existantes.</w:t>
      </w:r>
    </w:p>
    <w:p w14:paraId="0C3EEF84" w14:textId="03CD0ABB" w:rsidR="00D010A3" w:rsidRDefault="00D010A3" w:rsidP="00177FC7">
      <w:pPr>
        <w:pStyle w:val="Heading3"/>
        <w:spacing w:before="120" w:after="120"/>
        <w:contextualSpacing/>
      </w:pPr>
      <w:r>
        <w:t>5. Évolution continue des outils du PAMA</w:t>
      </w:r>
    </w:p>
    <w:p w14:paraId="5757D5D5" w14:textId="2B460C69" w:rsidR="00D010A3" w:rsidRPr="00D010A3" w:rsidRDefault="003508E9" w:rsidP="00177FC7">
      <w:pPr>
        <w:spacing w:before="120" w:after="120" w:line="360" w:lineRule="auto"/>
        <w:ind w:left="357"/>
        <w:contextualSpacing/>
      </w:pPr>
      <w:r>
        <w:t xml:space="preserve">Avec l’adoption </w:t>
      </w:r>
      <w:r w:rsidR="00F04223">
        <w:t>généralisée des outils du PAMA, des opportunités d’affinement et d’amélioration se présenteront. La rétroaction des employés et</w:t>
      </w:r>
      <w:r w:rsidR="00847FDD">
        <w:t xml:space="preserve"> des prestataires des services de mesures d’adaptation</w:t>
      </w:r>
      <w:r w:rsidR="00F7146D">
        <w:t xml:space="preserve"> du lieu de travail</w:t>
      </w:r>
      <w:r w:rsidR="002417EE">
        <w:t xml:space="preserve"> </w:t>
      </w:r>
      <w:proofErr w:type="gramStart"/>
      <w:r w:rsidR="002417EE">
        <w:t>constitueront</w:t>
      </w:r>
      <w:proofErr w:type="gramEnd"/>
      <w:r w:rsidR="002417EE">
        <w:t xml:space="preserve"> un élément important du plan d’action. Tout ajustement</w:t>
      </w:r>
      <w:r w:rsidR="5F527B4B">
        <w:t xml:space="preserve"> aux outils</w:t>
      </w:r>
      <w:r w:rsidR="002417EE">
        <w:t xml:space="preserve"> devra être partagé afin que toutes les organisations puissent en bénéficier.</w:t>
      </w:r>
    </w:p>
    <w:p w14:paraId="41D063F3" w14:textId="77777777" w:rsidR="00E7788D" w:rsidRPr="003A66B5" w:rsidRDefault="00615231" w:rsidP="00177FC7">
      <w:pPr>
        <w:pStyle w:val="Heading2"/>
        <w:spacing w:before="120" w:after="120"/>
        <w:contextualSpacing/>
      </w:pPr>
      <w:r>
        <w:t>Conclusion</w:t>
      </w:r>
    </w:p>
    <w:p w14:paraId="25DA8ADD" w14:textId="7F5852F1" w:rsidR="00615231" w:rsidRPr="003A66B5" w:rsidRDefault="00615231" w:rsidP="00177FC7">
      <w:pPr>
        <w:spacing w:before="120" w:after="120" w:line="360" w:lineRule="auto"/>
        <w:contextualSpacing/>
        <w:rPr>
          <w:rFonts w:cs="Arial"/>
          <w:szCs w:val="24"/>
        </w:rPr>
      </w:pPr>
      <w:r>
        <w:t>Le gouvernement du Canada a tiré des enseignements du Projet d’amélioration des mesures d’adaptation. À l</w:t>
      </w:r>
      <w:r w:rsidR="00944DD8">
        <w:t>’</w:t>
      </w:r>
      <w:r>
        <w:t xml:space="preserve">avenir, les ministères et les organismes qui </w:t>
      </w:r>
      <w:r>
        <w:lastRenderedPageBreak/>
        <w:t>mettront en œuvre les outils du projet seront bien placés pour apporter des changements systémiques à la manière dont le gouvernement fédéral aborde les mesures d</w:t>
      </w:r>
      <w:r w:rsidR="00944DD8">
        <w:t>’</w:t>
      </w:r>
      <w:r>
        <w:t xml:space="preserve">adaptation </w:t>
      </w:r>
      <w:r w:rsidR="007F5352">
        <w:t>du lieu</w:t>
      </w:r>
      <w:r>
        <w:t xml:space="preserve"> de travail pour les employés en situation de handicap. </w:t>
      </w:r>
    </w:p>
    <w:sectPr w:rsidR="00615231" w:rsidRPr="003A66B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6DCE1" w14:textId="77777777" w:rsidR="00C24243" w:rsidRDefault="00C24243" w:rsidP="00944DD8">
      <w:pPr>
        <w:spacing w:after="0" w:line="240" w:lineRule="auto"/>
      </w:pPr>
      <w:r>
        <w:separator/>
      </w:r>
    </w:p>
  </w:endnote>
  <w:endnote w:type="continuationSeparator" w:id="0">
    <w:p w14:paraId="3057848B" w14:textId="77777777" w:rsidR="00C24243" w:rsidRDefault="00C24243" w:rsidP="00944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5E65" w14:textId="77777777" w:rsidR="00C24243" w:rsidRDefault="00C24243" w:rsidP="00944DD8">
      <w:pPr>
        <w:spacing w:after="0" w:line="240" w:lineRule="auto"/>
      </w:pPr>
      <w:r>
        <w:separator/>
      </w:r>
    </w:p>
  </w:footnote>
  <w:footnote w:type="continuationSeparator" w:id="0">
    <w:p w14:paraId="62227E89" w14:textId="77777777" w:rsidR="00C24243" w:rsidRDefault="00C24243" w:rsidP="00944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DF2F3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916229"/>
    <w:multiLevelType w:val="hybridMultilevel"/>
    <w:tmpl w:val="FE70D1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E3141"/>
    <w:multiLevelType w:val="hybridMultilevel"/>
    <w:tmpl w:val="8D58E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40E1"/>
    <w:multiLevelType w:val="hybridMultilevel"/>
    <w:tmpl w:val="94B69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C3EE0"/>
    <w:multiLevelType w:val="hybridMultilevel"/>
    <w:tmpl w:val="ABFA44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52CEB"/>
    <w:multiLevelType w:val="hybridMultilevel"/>
    <w:tmpl w:val="F6AEFE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D1C04"/>
    <w:multiLevelType w:val="hybridMultilevel"/>
    <w:tmpl w:val="F080E1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927B6"/>
    <w:multiLevelType w:val="hybridMultilevel"/>
    <w:tmpl w:val="57EEB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03914"/>
    <w:multiLevelType w:val="hybridMultilevel"/>
    <w:tmpl w:val="C7F476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F4179"/>
    <w:multiLevelType w:val="hybridMultilevel"/>
    <w:tmpl w:val="F4A04E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C5066"/>
    <w:multiLevelType w:val="hybridMultilevel"/>
    <w:tmpl w:val="553E9C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6641E"/>
    <w:multiLevelType w:val="hybridMultilevel"/>
    <w:tmpl w:val="241246D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D12A0C"/>
    <w:multiLevelType w:val="hybridMultilevel"/>
    <w:tmpl w:val="874626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74EDE"/>
    <w:multiLevelType w:val="hybridMultilevel"/>
    <w:tmpl w:val="E496EE3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64939"/>
    <w:multiLevelType w:val="hybridMultilevel"/>
    <w:tmpl w:val="8470540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B5771"/>
    <w:multiLevelType w:val="hybridMultilevel"/>
    <w:tmpl w:val="8746260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192AE9"/>
    <w:multiLevelType w:val="hybridMultilevel"/>
    <w:tmpl w:val="09D0D5DE"/>
    <w:lvl w:ilvl="0" w:tplc="5FA49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0C4178"/>
    <w:multiLevelType w:val="hybridMultilevel"/>
    <w:tmpl w:val="D53AA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47010">
    <w:abstractNumId w:val="18"/>
  </w:num>
  <w:num w:numId="2" w16cid:durableId="1088384636">
    <w:abstractNumId w:val="25"/>
  </w:num>
  <w:num w:numId="3" w16cid:durableId="1161508639">
    <w:abstractNumId w:val="6"/>
  </w:num>
  <w:num w:numId="4" w16cid:durableId="1415198750">
    <w:abstractNumId w:val="7"/>
    <w:lvlOverride w:ilvl="0">
      <w:startOverride w:val="1"/>
    </w:lvlOverride>
  </w:num>
  <w:num w:numId="5" w16cid:durableId="1419525223">
    <w:abstractNumId w:val="8"/>
  </w:num>
  <w:num w:numId="6" w16cid:durableId="1428694493">
    <w:abstractNumId w:val="0"/>
  </w:num>
  <w:num w:numId="7" w16cid:durableId="1534657920">
    <w:abstractNumId w:val="11"/>
  </w:num>
  <w:num w:numId="8" w16cid:durableId="1666744173">
    <w:abstractNumId w:val="5"/>
  </w:num>
  <w:num w:numId="9" w16cid:durableId="1732459791">
    <w:abstractNumId w:val="12"/>
  </w:num>
  <w:num w:numId="10" w16cid:durableId="1965425537">
    <w:abstractNumId w:val="13"/>
  </w:num>
  <w:num w:numId="11" w16cid:durableId="1988507587">
    <w:abstractNumId w:val="7"/>
  </w:num>
  <w:num w:numId="12" w16cid:durableId="2001079232">
    <w:abstractNumId w:val="4"/>
  </w:num>
  <w:num w:numId="13" w16cid:durableId="2073305218">
    <w:abstractNumId w:val="15"/>
  </w:num>
  <w:num w:numId="14" w16cid:durableId="314258918">
    <w:abstractNumId w:val="23"/>
  </w:num>
  <w:num w:numId="15" w16cid:durableId="383023449">
    <w:abstractNumId w:val="7"/>
  </w:num>
  <w:num w:numId="16" w16cid:durableId="52970002">
    <w:abstractNumId w:val="9"/>
  </w:num>
  <w:num w:numId="17" w16cid:durableId="548879788">
    <w:abstractNumId w:val="22"/>
  </w:num>
  <w:num w:numId="18" w16cid:durableId="563948276">
    <w:abstractNumId w:val="3"/>
  </w:num>
  <w:num w:numId="19" w16cid:durableId="640498058">
    <w:abstractNumId w:val="2"/>
  </w:num>
  <w:num w:numId="20" w16cid:durableId="674067102">
    <w:abstractNumId w:val="7"/>
  </w:num>
  <w:num w:numId="21" w16cid:durableId="676884951">
    <w:abstractNumId w:val="24"/>
  </w:num>
  <w:num w:numId="22" w16cid:durableId="68354660">
    <w:abstractNumId w:val="21"/>
  </w:num>
  <w:num w:numId="23" w16cid:durableId="714085476">
    <w:abstractNumId w:val="7"/>
  </w:num>
  <w:num w:numId="24" w16cid:durableId="738207621">
    <w:abstractNumId w:val="19"/>
  </w:num>
  <w:num w:numId="25" w16cid:durableId="743377112">
    <w:abstractNumId w:val="1"/>
  </w:num>
  <w:num w:numId="26" w16cid:durableId="798305003">
    <w:abstractNumId w:val="7"/>
  </w:num>
  <w:num w:numId="27" w16cid:durableId="867136771">
    <w:abstractNumId w:val="14"/>
  </w:num>
  <w:num w:numId="28" w16cid:durableId="894387295">
    <w:abstractNumId w:val="16"/>
  </w:num>
  <w:num w:numId="29" w16cid:durableId="895238216">
    <w:abstractNumId w:val="7"/>
  </w:num>
  <w:num w:numId="30" w16cid:durableId="972834259">
    <w:abstractNumId w:val="7"/>
  </w:num>
  <w:num w:numId="31" w16cid:durableId="978654194">
    <w:abstractNumId w:val="20"/>
  </w:num>
  <w:num w:numId="32" w16cid:durableId="996348300">
    <w:abstractNumId w:val="17"/>
  </w:num>
  <w:num w:numId="33" w16cid:durableId="312762989">
    <w:abstractNumId w:val="8"/>
  </w:num>
  <w:num w:numId="34" w16cid:durableId="571233807">
    <w:abstractNumId w:val="8"/>
  </w:num>
  <w:num w:numId="35" w16cid:durableId="360790221">
    <w:abstractNumId w:val="8"/>
  </w:num>
  <w:num w:numId="36" w16cid:durableId="16993547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WHmj0bi0Ke/ax64S0ujeCvMjnk39TYZ+DONm5PYDS/bd//g/nECnU3n+TjXxPNOBEkFQQZ4Z6H1l0XQt6v4ZRg==" w:salt="7Db0I00h1qjT+6Pa2JdQb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9D"/>
    <w:rsid w:val="00014495"/>
    <w:rsid w:val="000166C8"/>
    <w:rsid w:val="00023AD7"/>
    <w:rsid w:val="00030F91"/>
    <w:rsid w:val="00034616"/>
    <w:rsid w:val="00037BA9"/>
    <w:rsid w:val="00041466"/>
    <w:rsid w:val="0004491C"/>
    <w:rsid w:val="000491C1"/>
    <w:rsid w:val="0006063C"/>
    <w:rsid w:val="000721B5"/>
    <w:rsid w:val="00073E1F"/>
    <w:rsid w:val="00080406"/>
    <w:rsid w:val="0008363C"/>
    <w:rsid w:val="000974BC"/>
    <w:rsid w:val="000B5DD8"/>
    <w:rsid w:val="000D1951"/>
    <w:rsid w:val="000E6664"/>
    <w:rsid w:val="000F4636"/>
    <w:rsid w:val="00102DB7"/>
    <w:rsid w:val="0015074B"/>
    <w:rsid w:val="001520E4"/>
    <w:rsid w:val="0015340A"/>
    <w:rsid w:val="001661FF"/>
    <w:rsid w:val="0017367F"/>
    <w:rsid w:val="00177FC7"/>
    <w:rsid w:val="001B59F4"/>
    <w:rsid w:val="001C6D4C"/>
    <w:rsid w:val="001D27DE"/>
    <w:rsid w:val="001D7D84"/>
    <w:rsid w:val="001E6B01"/>
    <w:rsid w:val="001E7B48"/>
    <w:rsid w:val="002010F5"/>
    <w:rsid w:val="00211CDC"/>
    <w:rsid w:val="00213364"/>
    <w:rsid w:val="0021533B"/>
    <w:rsid w:val="002240F5"/>
    <w:rsid w:val="00230590"/>
    <w:rsid w:val="002417EE"/>
    <w:rsid w:val="00252A68"/>
    <w:rsid w:val="00292EC1"/>
    <w:rsid w:val="0029639D"/>
    <w:rsid w:val="002A5103"/>
    <w:rsid w:val="002B3C19"/>
    <w:rsid w:val="002C01E3"/>
    <w:rsid w:val="002D377F"/>
    <w:rsid w:val="002D5CD0"/>
    <w:rsid w:val="002D5CDB"/>
    <w:rsid w:val="002E5996"/>
    <w:rsid w:val="0030305D"/>
    <w:rsid w:val="00305584"/>
    <w:rsid w:val="00314B92"/>
    <w:rsid w:val="003247ED"/>
    <w:rsid w:val="00326F90"/>
    <w:rsid w:val="0034612F"/>
    <w:rsid w:val="00347EB9"/>
    <w:rsid w:val="003508E9"/>
    <w:rsid w:val="0036425E"/>
    <w:rsid w:val="0036510C"/>
    <w:rsid w:val="003675FF"/>
    <w:rsid w:val="003A1B2B"/>
    <w:rsid w:val="003A66B5"/>
    <w:rsid w:val="003B3434"/>
    <w:rsid w:val="003C39BA"/>
    <w:rsid w:val="003C60C4"/>
    <w:rsid w:val="003F332B"/>
    <w:rsid w:val="00402EA1"/>
    <w:rsid w:val="00406E65"/>
    <w:rsid w:val="004077AE"/>
    <w:rsid w:val="004101DC"/>
    <w:rsid w:val="00417C2F"/>
    <w:rsid w:val="00483BF6"/>
    <w:rsid w:val="004A6C51"/>
    <w:rsid w:val="004D46DE"/>
    <w:rsid w:val="00531923"/>
    <w:rsid w:val="005364ED"/>
    <w:rsid w:val="0054519A"/>
    <w:rsid w:val="00557723"/>
    <w:rsid w:val="00575694"/>
    <w:rsid w:val="00575C5F"/>
    <w:rsid w:val="005B1190"/>
    <w:rsid w:val="005F2EFC"/>
    <w:rsid w:val="006117F3"/>
    <w:rsid w:val="00615231"/>
    <w:rsid w:val="006234DB"/>
    <w:rsid w:val="006312DA"/>
    <w:rsid w:val="00641A60"/>
    <w:rsid w:val="006502D6"/>
    <w:rsid w:val="006504D8"/>
    <w:rsid w:val="00654D10"/>
    <w:rsid w:val="00670B49"/>
    <w:rsid w:val="00674A52"/>
    <w:rsid w:val="006C1455"/>
    <w:rsid w:val="006D4413"/>
    <w:rsid w:val="006E0D70"/>
    <w:rsid w:val="006E70B0"/>
    <w:rsid w:val="007020DC"/>
    <w:rsid w:val="007033AF"/>
    <w:rsid w:val="00714194"/>
    <w:rsid w:val="00726AA4"/>
    <w:rsid w:val="00735868"/>
    <w:rsid w:val="00737C1D"/>
    <w:rsid w:val="00744FD6"/>
    <w:rsid w:val="007554BC"/>
    <w:rsid w:val="007A6E27"/>
    <w:rsid w:val="007B6678"/>
    <w:rsid w:val="007C5008"/>
    <w:rsid w:val="007D0334"/>
    <w:rsid w:val="007D0DF5"/>
    <w:rsid w:val="007F5352"/>
    <w:rsid w:val="00826695"/>
    <w:rsid w:val="00834DAC"/>
    <w:rsid w:val="00837160"/>
    <w:rsid w:val="00847FDD"/>
    <w:rsid w:val="008509F7"/>
    <w:rsid w:val="00854439"/>
    <w:rsid w:val="0087365F"/>
    <w:rsid w:val="008859AB"/>
    <w:rsid w:val="0089698D"/>
    <w:rsid w:val="008A4B61"/>
    <w:rsid w:val="008A67B2"/>
    <w:rsid w:val="008A7A60"/>
    <w:rsid w:val="008B2479"/>
    <w:rsid w:val="008B3C79"/>
    <w:rsid w:val="008B74DD"/>
    <w:rsid w:val="008D7D13"/>
    <w:rsid w:val="009148CF"/>
    <w:rsid w:val="0092508C"/>
    <w:rsid w:val="00927FC4"/>
    <w:rsid w:val="00932130"/>
    <w:rsid w:val="00944DD8"/>
    <w:rsid w:val="00962E01"/>
    <w:rsid w:val="00970A22"/>
    <w:rsid w:val="00982954"/>
    <w:rsid w:val="0099078D"/>
    <w:rsid w:val="009979E9"/>
    <w:rsid w:val="009B293B"/>
    <w:rsid w:val="009C04B7"/>
    <w:rsid w:val="009C0BD9"/>
    <w:rsid w:val="009E1B9F"/>
    <w:rsid w:val="00A145A3"/>
    <w:rsid w:val="00A20FAF"/>
    <w:rsid w:val="00A310EE"/>
    <w:rsid w:val="00A34590"/>
    <w:rsid w:val="00A41746"/>
    <w:rsid w:val="00A67E1D"/>
    <w:rsid w:val="00A71FAD"/>
    <w:rsid w:val="00A74E50"/>
    <w:rsid w:val="00A96C79"/>
    <w:rsid w:val="00A972B7"/>
    <w:rsid w:val="00AA1D8D"/>
    <w:rsid w:val="00AA3514"/>
    <w:rsid w:val="00AA496B"/>
    <w:rsid w:val="00AB55D9"/>
    <w:rsid w:val="00AC264F"/>
    <w:rsid w:val="00AE3C5E"/>
    <w:rsid w:val="00B016EF"/>
    <w:rsid w:val="00B10638"/>
    <w:rsid w:val="00B131B9"/>
    <w:rsid w:val="00B13B6E"/>
    <w:rsid w:val="00B20AAE"/>
    <w:rsid w:val="00B375F9"/>
    <w:rsid w:val="00B37B46"/>
    <w:rsid w:val="00B45637"/>
    <w:rsid w:val="00B458A4"/>
    <w:rsid w:val="00B47730"/>
    <w:rsid w:val="00B509F6"/>
    <w:rsid w:val="00B51B87"/>
    <w:rsid w:val="00B531E6"/>
    <w:rsid w:val="00B54077"/>
    <w:rsid w:val="00B60BB4"/>
    <w:rsid w:val="00B7598A"/>
    <w:rsid w:val="00B76467"/>
    <w:rsid w:val="00B87868"/>
    <w:rsid w:val="00BA08EC"/>
    <w:rsid w:val="00BB0DDC"/>
    <w:rsid w:val="00BB2DC3"/>
    <w:rsid w:val="00BC5BCD"/>
    <w:rsid w:val="00BF41E7"/>
    <w:rsid w:val="00BF7548"/>
    <w:rsid w:val="00C1558F"/>
    <w:rsid w:val="00C24243"/>
    <w:rsid w:val="00C2567D"/>
    <w:rsid w:val="00C3250D"/>
    <w:rsid w:val="00C5098D"/>
    <w:rsid w:val="00C72987"/>
    <w:rsid w:val="00C739E2"/>
    <w:rsid w:val="00CA6234"/>
    <w:rsid w:val="00CA72D9"/>
    <w:rsid w:val="00CB0664"/>
    <w:rsid w:val="00CB3A71"/>
    <w:rsid w:val="00CB7A6C"/>
    <w:rsid w:val="00CC0D6F"/>
    <w:rsid w:val="00CC68CB"/>
    <w:rsid w:val="00CD31F4"/>
    <w:rsid w:val="00CE4960"/>
    <w:rsid w:val="00CF3833"/>
    <w:rsid w:val="00D010A3"/>
    <w:rsid w:val="00D03C7A"/>
    <w:rsid w:val="00D10970"/>
    <w:rsid w:val="00D10AA0"/>
    <w:rsid w:val="00D23342"/>
    <w:rsid w:val="00D25DC9"/>
    <w:rsid w:val="00D5492D"/>
    <w:rsid w:val="00D631B6"/>
    <w:rsid w:val="00D70A3D"/>
    <w:rsid w:val="00D976ED"/>
    <w:rsid w:val="00DC584E"/>
    <w:rsid w:val="00DD0262"/>
    <w:rsid w:val="00DE3D17"/>
    <w:rsid w:val="00DE431B"/>
    <w:rsid w:val="00E146FB"/>
    <w:rsid w:val="00E42770"/>
    <w:rsid w:val="00E45068"/>
    <w:rsid w:val="00E514DE"/>
    <w:rsid w:val="00E544E4"/>
    <w:rsid w:val="00E62280"/>
    <w:rsid w:val="00E65DA3"/>
    <w:rsid w:val="00E7788D"/>
    <w:rsid w:val="00E87429"/>
    <w:rsid w:val="00E9611D"/>
    <w:rsid w:val="00EC647D"/>
    <w:rsid w:val="00EE5959"/>
    <w:rsid w:val="00F04223"/>
    <w:rsid w:val="00F0495E"/>
    <w:rsid w:val="00F20388"/>
    <w:rsid w:val="00F35F1A"/>
    <w:rsid w:val="00F57D8C"/>
    <w:rsid w:val="00F617F1"/>
    <w:rsid w:val="00F64ECC"/>
    <w:rsid w:val="00F7146D"/>
    <w:rsid w:val="00F95C2F"/>
    <w:rsid w:val="00FC693F"/>
    <w:rsid w:val="00FF0394"/>
    <w:rsid w:val="01E27C2B"/>
    <w:rsid w:val="05132A30"/>
    <w:rsid w:val="08131D0D"/>
    <w:rsid w:val="0D9ED654"/>
    <w:rsid w:val="0EE5DCD1"/>
    <w:rsid w:val="11BE5E3A"/>
    <w:rsid w:val="1226EC9D"/>
    <w:rsid w:val="129A5082"/>
    <w:rsid w:val="18F08FD9"/>
    <w:rsid w:val="1C18619E"/>
    <w:rsid w:val="1C67C2BE"/>
    <w:rsid w:val="1E87A99F"/>
    <w:rsid w:val="1F1B8A20"/>
    <w:rsid w:val="202EA56F"/>
    <w:rsid w:val="232AF359"/>
    <w:rsid w:val="2537632A"/>
    <w:rsid w:val="25EE8BED"/>
    <w:rsid w:val="26903BF6"/>
    <w:rsid w:val="26B4715E"/>
    <w:rsid w:val="297476EB"/>
    <w:rsid w:val="2B1D9D99"/>
    <w:rsid w:val="2B4EA843"/>
    <w:rsid w:val="2EA02F96"/>
    <w:rsid w:val="2F9741EE"/>
    <w:rsid w:val="338FA1E5"/>
    <w:rsid w:val="341E1B4D"/>
    <w:rsid w:val="376777D0"/>
    <w:rsid w:val="38884BB2"/>
    <w:rsid w:val="38C12781"/>
    <w:rsid w:val="3A178471"/>
    <w:rsid w:val="3EE8A411"/>
    <w:rsid w:val="414270D5"/>
    <w:rsid w:val="45467401"/>
    <w:rsid w:val="4859BA8D"/>
    <w:rsid w:val="48CCE68F"/>
    <w:rsid w:val="52051A1E"/>
    <w:rsid w:val="55DC891E"/>
    <w:rsid w:val="59041E21"/>
    <w:rsid w:val="5BD3F814"/>
    <w:rsid w:val="5F0F0212"/>
    <w:rsid w:val="5F527B4B"/>
    <w:rsid w:val="64E802BF"/>
    <w:rsid w:val="65C7810D"/>
    <w:rsid w:val="6C6DAA2B"/>
    <w:rsid w:val="6DB7D9A7"/>
    <w:rsid w:val="73D2F5D1"/>
    <w:rsid w:val="7604FBA4"/>
    <w:rsid w:val="774A2E91"/>
    <w:rsid w:val="78A87701"/>
    <w:rsid w:val="797FA2F2"/>
    <w:rsid w:val="7ABC2BCA"/>
    <w:rsid w:val="7CFAB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5642F9"/>
  <w14:defaultImageDpi w14:val="330"/>
  <w15:docId w15:val="{6FEC2A7D-2E4A-423A-85DD-7BDD72C2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A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010A3"/>
    <w:pPr>
      <w:keepNext/>
      <w:keepLines/>
      <w:spacing w:before="480" w:after="0" w:line="360" w:lineRule="auto"/>
      <w:outlineLvl w:val="0"/>
    </w:pPr>
    <w:rPr>
      <w:rFonts w:eastAsiaTheme="majorEastAsia" w:cs="Arial"/>
      <w:bCs/>
      <w:color w:val="365F91" w:themeColor="accent1" w:themeShade="BF"/>
      <w:sz w:val="40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0BB4"/>
    <w:pPr>
      <w:keepNext/>
      <w:keepLines/>
      <w:spacing w:before="200" w:after="0" w:line="360" w:lineRule="auto"/>
      <w:outlineLvl w:val="1"/>
    </w:pPr>
    <w:rPr>
      <w:rFonts w:eastAsiaTheme="majorEastAsia" w:cs="Arial"/>
      <w:bCs/>
      <w:color w:val="365F91" w:themeColor="accent1" w:themeShade="BF"/>
      <w:sz w:val="32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010A3"/>
    <w:pPr>
      <w:keepNext/>
      <w:keepLines/>
      <w:spacing w:before="200" w:after="0" w:line="360" w:lineRule="auto"/>
      <w:outlineLvl w:val="2"/>
    </w:pPr>
    <w:rPr>
      <w:rFonts w:eastAsiaTheme="majorEastAsia" w:cs="Arial"/>
      <w:bCs/>
      <w:color w:val="365F91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BB4"/>
    <w:pPr>
      <w:keepNext/>
      <w:keepLines/>
      <w:spacing w:before="200" w:after="0"/>
      <w:outlineLvl w:val="3"/>
    </w:pPr>
    <w:rPr>
      <w:rFonts w:eastAsiaTheme="majorEastAsia" w:cstheme="majorBidi"/>
      <w:bCs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010A3"/>
    <w:rPr>
      <w:rFonts w:ascii="Arial" w:eastAsiaTheme="majorEastAsia" w:hAnsi="Arial" w:cs="Arial"/>
      <w:bCs/>
      <w:color w:val="365F91" w:themeColor="accent1" w:themeShade="BF"/>
      <w:sz w:val="4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Arial" w:eastAsiaTheme="majorEastAsia" w:hAnsi="Arial" w:cs="Arial"/>
      <w:bCs/>
      <w:color w:val="365F91" w:themeColor="accent1" w:themeShade="BF"/>
      <w:sz w:val="32"/>
      <w:szCs w:val="24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D010A3"/>
    <w:rPr>
      <w:rFonts w:ascii="Arial" w:eastAsiaTheme="majorEastAsia" w:hAnsi="Arial" w:cs="Arial"/>
      <w:bCs/>
      <w:color w:val="365F91" w:themeColor="accent1" w:themeShade="BF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Arial" w:eastAsiaTheme="majorEastAsia" w:hAnsi="Arial" w:cstheme="majorBidi"/>
      <w:bCs/>
      <w:i/>
      <w:iCs/>
      <w:color w:val="365F91" w:themeColor="accent1" w:themeShade="BF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896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6fabd-0f57-4c2d-9f78-5d80e83941cf" xsi:nil="true"/>
    <Details xmlns="fc36ef8f-3e5b-4419-9806-6ebe770d7957" xsi:nil="true"/>
    <lcf76f155ced4ddcb4097134ff3c332f xmlns="fc36ef8f-3e5b-4419-9806-6ebe770d79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19AB0F57FFA34797BE45DD48308270" ma:contentTypeVersion="17" ma:contentTypeDescription="Create a new document." ma:contentTypeScope="" ma:versionID="425f455d9b5c2be9b87c17b65975e45f">
  <xsd:schema xmlns:xsd="http://www.w3.org/2001/XMLSchema" xmlns:xs="http://www.w3.org/2001/XMLSchema" xmlns:p="http://schemas.microsoft.com/office/2006/metadata/properties" xmlns:ns2="fc36ef8f-3e5b-4419-9806-6ebe770d7957" xmlns:ns3="f9e6fabd-0f57-4c2d-9f78-5d80e83941cf" targetNamespace="http://schemas.microsoft.com/office/2006/metadata/properties" ma:root="true" ma:fieldsID="4113748a4f11e39d987230bbc81b5440" ns2:_="" ns3:_="">
    <xsd:import namespace="fc36ef8f-3e5b-4419-9806-6ebe770d7957"/>
    <xsd:import namespace="f9e6fabd-0f57-4c2d-9f78-5d80e83941cf"/>
    <xsd:element name="properties">
      <xsd:complexType>
        <xsd:sequence>
          <xsd:element name="documentManagement">
            <xsd:complexType>
              <xsd:all>
                <xsd:element ref="ns2:Detail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6ef8f-3e5b-4419-9806-6ebe770d7957" elementFormDefault="qualified">
    <xsd:import namespace="http://schemas.microsoft.com/office/2006/documentManagement/types"/>
    <xsd:import namespace="http://schemas.microsoft.com/office/infopath/2007/PartnerControls"/>
    <xsd:element name="Details" ma:index="1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a6f064-5af2-4239-ab23-685642d595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6fabd-0f57-4c2d-9f78-5d80e83941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5" nillable="true" ma:displayName="Taxonomy Catch All Column" ma:hidden="true" ma:list="{5d777785-43ea-409e-8a7b-2f115f495aac}" ma:internalName="TaxCatchAll" ma:readOnly="false" ma:showField="CatchAllData" ma:web="f9e6fabd-0f57-4c2d-9f78-5d80e8394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B07416-FF44-4635-BEDE-67BD81EE6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CFB23-184B-44A1-8C00-A2E6961807C6}">
  <ds:schemaRefs>
    <ds:schemaRef ds:uri="fc36ef8f-3e5b-4419-9806-6ebe770d7957"/>
    <ds:schemaRef ds:uri="http://www.w3.org/XML/1998/namespace"/>
    <ds:schemaRef ds:uri="f9e6fabd-0f57-4c2d-9f78-5d80e83941cf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DEE063-A9E0-4A03-A78F-55D6D935C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6ef8f-3e5b-4419-9806-6ebe770d7957"/>
    <ds:schemaRef ds:uri="f9e6fabd-0f57-4c2d-9f78-5d80e8394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F1D6E6-A751-4728-A555-31F24BED41C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3963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 - What's next</vt:lpstr>
    </vt:vector>
  </TitlesOfParts>
  <Manager/>
  <Company>ESDC</Company>
  <LinksUpToDate>false</LinksUpToDate>
  <CharactersWithSpaces>4649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- What's next</dc:title>
  <dc:subject/>
  <dc:creator>Charlier, Sarah S [NC]</dc:creator>
  <cp:keywords/>
  <dc:description/>
  <cp:lastModifiedBy>Charlier, Sarah S [NC]</cp:lastModifiedBy>
  <cp:revision>3</cp:revision>
  <dcterms:created xsi:type="dcterms:W3CDTF">2025-09-25T00:46:00Z</dcterms:created>
  <dcterms:modified xsi:type="dcterms:W3CDTF">2025-09-25T00:47:00Z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0x0101004419AB0F57FFA34797BE45DD48308270</vt:lpwstr>
  </property>
  <property fmtid="{D5CDD505-2E9C-101B-9397-08002B2CF9AE}" pid="3" name="MediaServiceImageTags">
    <vt:lpwstr/>
  </property>
  <property fmtid="{D5CDD505-2E9C-101B-9397-08002B2CF9AE}" pid="4" name="MSIP_Label_834ed4f5-eae4-40c7-82be-b1cdf720a1b9_Enabled">
    <vt:lpwstr>true</vt:lpwstr>
  </property>
  <property fmtid="{D5CDD505-2E9C-101B-9397-08002B2CF9AE}" pid="5" name="MSIP_Label_834ed4f5-eae4-40c7-82be-b1cdf720a1b9_SetDate">
    <vt:lpwstr>2025-09-08T17:53:20Z</vt:lpwstr>
  </property>
  <property fmtid="{D5CDD505-2E9C-101B-9397-08002B2CF9AE}" pid="6" name="MSIP_Label_834ed4f5-eae4-40c7-82be-b1cdf720a1b9_Method">
    <vt:lpwstr>Standard</vt:lpwstr>
  </property>
  <property fmtid="{D5CDD505-2E9C-101B-9397-08002B2CF9AE}" pid="7" name="MSIP_Label_834ed4f5-eae4-40c7-82be-b1cdf720a1b9_Name">
    <vt:lpwstr>Unclassified - Non classifié</vt:lpwstr>
  </property>
  <property fmtid="{D5CDD505-2E9C-101B-9397-08002B2CF9AE}" pid="8" name="MSIP_Label_834ed4f5-eae4-40c7-82be-b1cdf720a1b9_SiteId">
    <vt:lpwstr>e0d54a3c-7bbe-4a64-9d46-f9f84a41c833</vt:lpwstr>
  </property>
  <property fmtid="{D5CDD505-2E9C-101B-9397-08002B2CF9AE}" pid="9" name="MSIP_Label_834ed4f5-eae4-40c7-82be-b1cdf720a1b9_ActionId">
    <vt:lpwstr>e8918a51-d77e-42b9-92db-518d060fa178</vt:lpwstr>
  </property>
  <property fmtid="{D5CDD505-2E9C-101B-9397-08002B2CF9AE}" pid="10" name="MSIP_Label_834ed4f5-eae4-40c7-82be-b1cdf720a1b9_ContentBits">
    <vt:lpwstr>0</vt:lpwstr>
  </property>
  <property fmtid="{D5CDD505-2E9C-101B-9397-08002B2CF9AE}" pid="11" name="MSIP_Label_834ed4f5-eae4-40c7-82be-b1cdf720a1b9_Tag">
    <vt:lpwstr>10, 3, 0, 1</vt:lpwstr>
  </property>
  <property fmtid="{D5CDD505-2E9C-101B-9397-08002B2CF9AE}" pid="12" name="docLang">
    <vt:lpwstr>fr</vt:lpwstr>
  </property>
</Properties>
</file>